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06" w:rsidRPr="008A3A14" w:rsidRDefault="00720306" w:rsidP="00720306">
      <w:pPr>
        <w:jc w:val="center"/>
        <w:rPr>
          <w:rFonts w:asciiTheme="minorHAnsi" w:hAnsiTheme="minorHAnsi"/>
          <w:b/>
          <w:sz w:val="32"/>
          <w:szCs w:val="32"/>
          <w:u w:val="single"/>
        </w:rPr>
      </w:pPr>
      <w:bookmarkStart w:id="0" w:name="_GoBack"/>
      <w:bookmarkEnd w:id="0"/>
    </w:p>
    <w:p w:rsidR="00720306" w:rsidRPr="00980841" w:rsidRDefault="00720306" w:rsidP="00720306">
      <w:pPr>
        <w:jc w:val="center"/>
        <w:rPr>
          <w:rFonts w:asciiTheme="minorHAnsi" w:hAnsiTheme="minorHAnsi"/>
          <w:b/>
          <w:sz w:val="26"/>
          <w:szCs w:val="26"/>
          <w:u w:val="single"/>
        </w:rPr>
      </w:pPr>
      <w:r w:rsidRPr="00980841">
        <w:rPr>
          <w:rFonts w:asciiTheme="minorHAnsi" w:hAnsiTheme="minorHAnsi"/>
          <w:b/>
          <w:sz w:val="26"/>
          <w:szCs w:val="26"/>
          <w:u w:val="single"/>
        </w:rPr>
        <w:t xml:space="preserve">ACES 2016 </w:t>
      </w:r>
      <w:r>
        <w:rPr>
          <w:rFonts w:asciiTheme="minorHAnsi" w:hAnsiTheme="minorHAnsi"/>
          <w:b/>
          <w:sz w:val="26"/>
          <w:szCs w:val="26"/>
          <w:u w:val="single"/>
        </w:rPr>
        <w:t xml:space="preserve">Town Hall </w:t>
      </w:r>
      <w:r w:rsidRPr="00980841">
        <w:rPr>
          <w:rFonts w:asciiTheme="minorHAnsi" w:hAnsiTheme="minorHAnsi"/>
          <w:b/>
          <w:sz w:val="26"/>
          <w:szCs w:val="26"/>
          <w:u w:val="single"/>
        </w:rPr>
        <w:t xml:space="preserve">Proposal </w:t>
      </w:r>
    </w:p>
    <w:p w:rsidR="00720306" w:rsidRDefault="00720306" w:rsidP="00720306">
      <w:pPr>
        <w:rPr>
          <w:rFonts w:asciiTheme="minorHAnsi" w:hAnsiTheme="minorHAnsi"/>
          <w:b/>
          <w:sz w:val="24"/>
          <w:szCs w:val="24"/>
        </w:rPr>
      </w:pPr>
    </w:p>
    <w:p w:rsidR="0000499E" w:rsidRDefault="0000499E" w:rsidP="00720306">
      <w:pPr>
        <w:rPr>
          <w:rFonts w:asciiTheme="minorHAnsi" w:hAnsiTheme="minorHAnsi"/>
          <w:b/>
          <w:sz w:val="24"/>
          <w:szCs w:val="24"/>
        </w:rPr>
      </w:pPr>
    </w:p>
    <w:p w:rsidR="00720306" w:rsidRPr="00A45DA9" w:rsidRDefault="00720306" w:rsidP="0000499E">
      <w:pPr>
        <w:rPr>
          <w:sz w:val="24"/>
          <w:szCs w:val="24"/>
        </w:rPr>
      </w:pPr>
      <w:r w:rsidRPr="00A45DA9">
        <w:rPr>
          <w:b/>
          <w:sz w:val="24"/>
          <w:szCs w:val="24"/>
        </w:rPr>
        <w:t>Title:</w:t>
      </w:r>
      <w:r w:rsidRPr="00A45DA9">
        <w:rPr>
          <w:sz w:val="24"/>
          <w:szCs w:val="24"/>
        </w:rPr>
        <w:t xml:space="preserve"> </w:t>
      </w:r>
      <w:proofErr w:type="spellStart"/>
      <w:r w:rsidR="00127C3C" w:rsidRPr="00A45DA9">
        <w:rPr>
          <w:sz w:val="24"/>
          <w:szCs w:val="24"/>
        </w:rPr>
        <w:t>EnviroAtlas</w:t>
      </w:r>
      <w:proofErr w:type="spellEnd"/>
      <w:r w:rsidR="0040011D" w:rsidRPr="00A45DA9">
        <w:rPr>
          <w:sz w:val="24"/>
          <w:szCs w:val="24"/>
        </w:rPr>
        <w:t>’ New</w:t>
      </w:r>
      <w:r w:rsidR="00127C3C" w:rsidRPr="00A45DA9">
        <w:rPr>
          <w:sz w:val="24"/>
          <w:szCs w:val="24"/>
        </w:rPr>
        <w:t xml:space="preserve"> </w:t>
      </w:r>
      <w:r w:rsidR="0040011D" w:rsidRPr="00A45DA9">
        <w:rPr>
          <w:sz w:val="24"/>
          <w:szCs w:val="24"/>
        </w:rPr>
        <w:t>Environmental Markets Decision S</w:t>
      </w:r>
      <w:r w:rsidR="00127C3C" w:rsidRPr="00A45DA9">
        <w:rPr>
          <w:sz w:val="24"/>
          <w:szCs w:val="24"/>
        </w:rPr>
        <w:t xml:space="preserve">upport </w:t>
      </w:r>
      <w:r w:rsidR="0040011D" w:rsidRPr="00A45DA9">
        <w:rPr>
          <w:sz w:val="24"/>
          <w:szCs w:val="24"/>
        </w:rPr>
        <w:t>T</w:t>
      </w:r>
      <w:r w:rsidR="00127C3C" w:rsidRPr="00A45DA9">
        <w:rPr>
          <w:sz w:val="24"/>
          <w:szCs w:val="24"/>
        </w:rPr>
        <w:t>ools</w:t>
      </w:r>
      <w:r w:rsidR="0040011D" w:rsidRPr="00A45DA9">
        <w:rPr>
          <w:sz w:val="24"/>
          <w:szCs w:val="24"/>
        </w:rPr>
        <w:t xml:space="preserve">: </w:t>
      </w:r>
      <w:r w:rsidR="00A63DBC" w:rsidRPr="00A45DA9">
        <w:rPr>
          <w:sz w:val="24"/>
          <w:szCs w:val="24"/>
        </w:rPr>
        <w:t>Linking</w:t>
      </w:r>
      <w:r w:rsidR="00127C3C" w:rsidRPr="00A45DA9">
        <w:rPr>
          <w:sz w:val="24"/>
          <w:szCs w:val="24"/>
        </w:rPr>
        <w:t xml:space="preserve"> </w:t>
      </w:r>
      <w:r w:rsidR="0040011D" w:rsidRPr="00A45DA9">
        <w:rPr>
          <w:sz w:val="24"/>
          <w:szCs w:val="24"/>
        </w:rPr>
        <w:t>Ecosystem S</w:t>
      </w:r>
      <w:r w:rsidR="00127C3C" w:rsidRPr="00A45DA9">
        <w:rPr>
          <w:sz w:val="24"/>
          <w:szCs w:val="24"/>
        </w:rPr>
        <w:t xml:space="preserve">ervices </w:t>
      </w:r>
      <w:r w:rsidR="00B6367C" w:rsidRPr="00A45DA9">
        <w:rPr>
          <w:sz w:val="24"/>
          <w:szCs w:val="24"/>
        </w:rPr>
        <w:t>with</w:t>
      </w:r>
      <w:r w:rsidR="0040011D" w:rsidRPr="00A45DA9">
        <w:rPr>
          <w:sz w:val="24"/>
          <w:szCs w:val="24"/>
        </w:rPr>
        <w:t xml:space="preserve"> Environmental Markets Data and Policies</w:t>
      </w:r>
    </w:p>
    <w:p w:rsidR="00720306" w:rsidRPr="00A45DA9" w:rsidRDefault="00720306" w:rsidP="00720306">
      <w:pPr>
        <w:rPr>
          <w:b/>
          <w:sz w:val="24"/>
          <w:szCs w:val="24"/>
        </w:rPr>
      </w:pPr>
    </w:p>
    <w:p w:rsidR="0000499E" w:rsidRDefault="00720306" w:rsidP="003E245D">
      <w:pPr>
        <w:rPr>
          <w:sz w:val="24"/>
          <w:szCs w:val="24"/>
        </w:rPr>
      </w:pPr>
      <w:r w:rsidRPr="00A45DA9">
        <w:rPr>
          <w:b/>
          <w:sz w:val="24"/>
          <w:szCs w:val="24"/>
        </w:rPr>
        <w:t>Description:</w:t>
      </w:r>
      <w:r w:rsidRPr="00A45DA9">
        <w:rPr>
          <w:sz w:val="24"/>
          <w:szCs w:val="24"/>
        </w:rPr>
        <w:t xml:space="preserve"> </w:t>
      </w:r>
      <w:r w:rsidR="0024033A" w:rsidRPr="00A45DA9">
        <w:rPr>
          <w:sz w:val="24"/>
          <w:szCs w:val="24"/>
        </w:rPr>
        <w:t xml:space="preserve"> </w:t>
      </w:r>
    </w:p>
    <w:p w:rsidR="003E245D" w:rsidRPr="00A45DA9" w:rsidRDefault="003E245D" w:rsidP="003E245D">
      <w:pPr>
        <w:rPr>
          <w:sz w:val="24"/>
          <w:szCs w:val="24"/>
        </w:rPr>
      </w:pPr>
      <w:r w:rsidRPr="00A45DA9">
        <w:rPr>
          <w:sz w:val="24"/>
          <w:szCs w:val="24"/>
        </w:rPr>
        <w:t xml:space="preserve">Up-to-date, comprehensive, and spatially oriented data is critical to advance effective application of </w:t>
      </w:r>
      <w:r w:rsidR="0000499E">
        <w:rPr>
          <w:sz w:val="24"/>
          <w:szCs w:val="24"/>
        </w:rPr>
        <w:t>environmental</w:t>
      </w:r>
      <w:r w:rsidRPr="00A45DA9">
        <w:rPr>
          <w:sz w:val="24"/>
          <w:szCs w:val="24"/>
        </w:rPr>
        <w:t xml:space="preserve"> markets in economic development, conservation planning, and public policy. </w:t>
      </w:r>
    </w:p>
    <w:p w:rsidR="00B6367C" w:rsidRPr="00A45DA9" w:rsidRDefault="00B6367C" w:rsidP="00B6367C">
      <w:pPr>
        <w:spacing w:line="240" w:lineRule="auto"/>
        <w:rPr>
          <w:sz w:val="24"/>
          <w:szCs w:val="24"/>
        </w:rPr>
      </w:pPr>
    </w:p>
    <w:p w:rsidR="0000499E" w:rsidRDefault="00B6367C" w:rsidP="003E245D">
      <w:pPr>
        <w:rPr>
          <w:sz w:val="24"/>
          <w:szCs w:val="24"/>
        </w:rPr>
      </w:pPr>
      <w:r w:rsidRPr="00A45DA9">
        <w:rPr>
          <w:sz w:val="24"/>
          <w:szCs w:val="24"/>
        </w:rPr>
        <w:lastRenderedPageBreak/>
        <w:t xml:space="preserve">USDA, EPA, and </w:t>
      </w:r>
      <w:proofErr w:type="spellStart"/>
      <w:r w:rsidRPr="00A45DA9">
        <w:rPr>
          <w:sz w:val="24"/>
          <w:szCs w:val="24"/>
        </w:rPr>
        <w:t>ForestTrends</w:t>
      </w:r>
      <w:proofErr w:type="spellEnd"/>
      <w:r w:rsidRPr="00A45DA9">
        <w:rPr>
          <w:sz w:val="24"/>
          <w:szCs w:val="24"/>
        </w:rPr>
        <w:t xml:space="preserve">’ Ecosystem Marketplace </w:t>
      </w:r>
      <w:r w:rsidR="003E245D" w:rsidRPr="00A45DA9">
        <w:rPr>
          <w:sz w:val="24"/>
          <w:szCs w:val="24"/>
        </w:rPr>
        <w:t xml:space="preserve">have </w:t>
      </w:r>
      <w:r w:rsidRPr="00A45DA9">
        <w:rPr>
          <w:sz w:val="24"/>
          <w:szCs w:val="24"/>
        </w:rPr>
        <w:t xml:space="preserve">partnered to incorporate environmental markets </w:t>
      </w:r>
      <w:r w:rsidR="0024033A" w:rsidRPr="00A45DA9">
        <w:rPr>
          <w:sz w:val="24"/>
          <w:szCs w:val="24"/>
        </w:rPr>
        <w:t xml:space="preserve">data </w:t>
      </w:r>
      <w:r w:rsidRPr="00A45DA9">
        <w:rPr>
          <w:sz w:val="24"/>
          <w:szCs w:val="24"/>
        </w:rPr>
        <w:t xml:space="preserve">into the Federal ecosystem service decision support tool, </w:t>
      </w:r>
      <w:proofErr w:type="spellStart"/>
      <w:r w:rsidRPr="00A45DA9">
        <w:rPr>
          <w:sz w:val="24"/>
          <w:szCs w:val="24"/>
        </w:rPr>
        <w:t>EnviroAtlas</w:t>
      </w:r>
      <w:proofErr w:type="spellEnd"/>
      <w:r w:rsidRPr="00A45DA9">
        <w:rPr>
          <w:sz w:val="24"/>
          <w:szCs w:val="24"/>
        </w:rPr>
        <w:t xml:space="preserve">. </w:t>
      </w:r>
      <w:r w:rsidR="0024033A" w:rsidRPr="00A45DA9">
        <w:rPr>
          <w:sz w:val="24"/>
          <w:szCs w:val="24"/>
        </w:rPr>
        <w:t xml:space="preserve"> </w:t>
      </w:r>
    </w:p>
    <w:p w:rsidR="0000499E" w:rsidRDefault="0000499E" w:rsidP="003E245D">
      <w:pPr>
        <w:rPr>
          <w:sz w:val="24"/>
          <w:szCs w:val="24"/>
        </w:rPr>
      </w:pPr>
    </w:p>
    <w:p w:rsidR="003E245D" w:rsidRPr="00A45DA9" w:rsidRDefault="00B6367C" w:rsidP="003E245D">
      <w:pPr>
        <w:rPr>
          <w:sz w:val="24"/>
          <w:szCs w:val="24"/>
        </w:rPr>
      </w:pPr>
      <w:proofErr w:type="spellStart"/>
      <w:r w:rsidRPr="00A45DA9">
        <w:rPr>
          <w:sz w:val="24"/>
          <w:szCs w:val="24"/>
        </w:rPr>
        <w:t>EnviroAtlas</w:t>
      </w:r>
      <w:proofErr w:type="spellEnd"/>
      <w:r w:rsidRPr="00A45DA9">
        <w:rPr>
          <w:sz w:val="24"/>
          <w:szCs w:val="24"/>
        </w:rPr>
        <w:t xml:space="preserve"> provides users the ability to </w:t>
      </w:r>
      <w:r w:rsidR="0024033A" w:rsidRPr="00A45DA9">
        <w:rPr>
          <w:sz w:val="24"/>
          <w:szCs w:val="24"/>
        </w:rPr>
        <w:t xml:space="preserve">freely </w:t>
      </w:r>
      <w:r w:rsidRPr="00A45DA9">
        <w:rPr>
          <w:sz w:val="24"/>
          <w:szCs w:val="24"/>
        </w:rPr>
        <w:t xml:space="preserve">view, analyze, and download geospatial data and other resources. The </w:t>
      </w:r>
      <w:r w:rsidR="003E245D" w:rsidRPr="00A45DA9">
        <w:rPr>
          <w:sz w:val="24"/>
          <w:szCs w:val="24"/>
        </w:rPr>
        <w:t xml:space="preserve">newly developed </w:t>
      </w:r>
      <w:r w:rsidRPr="00A45DA9">
        <w:rPr>
          <w:sz w:val="24"/>
          <w:szCs w:val="24"/>
        </w:rPr>
        <w:t>environmental markets data layers show where markets for water, carbon, wetlands, and habitats occur on the U.S. landscape,</w:t>
      </w:r>
      <w:r w:rsidR="003E245D" w:rsidRPr="00A45DA9">
        <w:rPr>
          <w:sz w:val="24"/>
          <w:szCs w:val="24"/>
        </w:rPr>
        <w:t xml:space="preserve"> provide information about the</w:t>
      </w:r>
      <w:r w:rsidRPr="00A45DA9">
        <w:rPr>
          <w:sz w:val="24"/>
          <w:szCs w:val="24"/>
        </w:rPr>
        <w:t xml:space="preserve"> markets</w:t>
      </w:r>
      <w:r w:rsidR="003E245D" w:rsidRPr="00A45DA9">
        <w:rPr>
          <w:sz w:val="24"/>
          <w:szCs w:val="24"/>
        </w:rPr>
        <w:t xml:space="preserve"> and enabling policies</w:t>
      </w:r>
      <w:r w:rsidRPr="00A45DA9">
        <w:rPr>
          <w:sz w:val="24"/>
          <w:szCs w:val="24"/>
        </w:rPr>
        <w:t xml:space="preserve">, and allow this information to be displayed in the context of existing environmental data. </w:t>
      </w:r>
      <w:r w:rsidR="003E245D" w:rsidRPr="00A45DA9">
        <w:rPr>
          <w:sz w:val="24"/>
          <w:szCs w:val="24"/>
        </w:rPr>
        <w:t>The integration allows users to understand trends, gaps, and opportunities, as well as make inferences about demand and enabling or limiting conditions for environmental markets. Planners and managers can identify areas of opportunity or conflict and make informed decisions based on reliable information.</w:t>
      </w:r>
    </w:p>
    <w:p w:rsidR="00D453FC" w:rsidRPr="00A45DA9" w:rsidRDefault="00D453FC" w:rsidP="00720306">
      <w:pPr>
        <w:rPr>
          <w:sz w:val="24"/>
          <w:szCs w:val="24"/>
        </w:rPr>
      </w:pPr>
    </w:p>
    <w:p w:rsidR="003F6B71" w:rsidRPr="00A45DA9" w:rsidRDefault="003C557E" w:rsidP="00720306">
      <w:pPr>
        <w:rPr>
          <w:b/>
          <w:sz w:val="24"/>
          <w:szCs w:val="24"/>
        </w:rPr>
      </w:pPr>
      <w:r w:rsidRPr="00A45DA9">
        <w:rPr>
          <w:b/>
          <w:sz w:val="24"/>
          <w:szCs w:val="24"/>
        </w:rPr>
        <w:lastRenderedPageBreak/>
        <w:t xml:space="preserve">Proposed Session Agenda: </w:t>
      </w:r>
      <w:r w:rsidR="003F6B71" w:rsidRPr="00A45DA9">
        <w:rPr>
          <w:b/>
          <w:sz w:val="24"/>
          <w:szCs w:val="24"/>
        </w:rPr>
        <w:t xml:space="preserve"> </w:t>
      </w:r>
      <w:r w:rsidR="003F6B71" w:rsidRPr="00A45DA9">
        <w:rPr>
          <w:sz w:val="24"/>
          <w:szCs w:val="24"/>
        </w:rPr>
        <w:t xml:space="preserve">(total time </w:t>
      </w:r>
      <w:r w:rsidR="0040011D" w:rsidRPr="00A45DA9">
        <w:rPr>
          <w:sz w:val="24"/>
          <w:szCs w:val="24"/>
        </w:rPr>
        <w:t>1 hour</w:t>
      </w:r>
      <w:r w:rsidR="003F6B71" w:rsidRPr="00A45DA9">
        <w:rPr>
          <w:sz w:val="24"/>
          <w:szCs w:val="24"/>
        </w:rPr>
        <w:t>)</w:t>
      </w:r>
    </w:p>
    <w:p w:rsidR="003C557E" w:rsidRPr="00A45DA9" w:rsidRDefault="003C557E" w:rsidP="00720306">
      <w:pPr>
        <w:rPr>
          <w:sz w:val="24"/>
          <w:szCs w:val="24"/>
        </w:rPr>
      </w:pPr>
      <w:r w:rsidRPr="00A45DA9">
        <w:rPr>
          <w:sz w:val="24"/>
          <w:szCs w:val="24"/>
        </w:rPr>
        <w:t xml:space="preserve">Introduction </w:t>
      </w:r>
      <w:r w:rsidR="003E245D" w:rsidRPr="00A45DA9">
        <w:rPr>
          <w:sz w:val="24"/>
          <w:szCs w:val="24"/>
        </w:rPr>
        <w:t xml:space="preserve"> </w:t>
      </w:r>
      <w:r w:rsidR="0024033A" w:rsidRPr="00A45DA9">
        <w:rPr>
          <w:sz w:val="24"/>
          <w:szCs w:val="24"/>
        </w:rPr>
        <w:tab/>
      </w:r>
      <w:r w:rsidR="0024033A" w:rsidRPr="00A45DA9">
        <w:rPr>
          <w:sz w:val="24"/>
          <w:szCs w:val="24"/>
        </w:rPr>
        <w:tab/>
      </w:r>
      <w:r w:rsidR="0024033A" w:rsidRPr="00A45DA9">
        <w:rPr>
          <w:sz w:val="24"/>
          <w:szCs w:val="24"/>
        </w:rPr>
        <w:tab/>
        <w:t xml:space="preserve">  </w:t>
      </w:r>
      <w:r w:rsidR="0000499E">
        <w:rPr>
          <w:sz w:val="24"/>
          <w:szCs w:val="24"/>
        </w:rPr>
        <w:tab/>
        <w:t xml:space="preserve">  </w:t>
      </w:r>
      <w:r w:rsidR="005151B0">
        <w:rPr>
          <w:sz w:val="24"/>
          <w:szCs w:val="24"/>
        </w:rPr>
        <w:tab/>
      </w:r>
      <w:r w:rsidR="005151B0">
        <w:rPr>
          <w:sz w:val="24"/>
          <w:szCs w:val="24"/>
        </w:rPr>
        <w:tab/>
      </w:r>
      <w:r w:rsidRPr="00A45DA9">
        <w:rPr>
          <w:sz w:val="24"/>
          <w:szCs w:val="24"/>
        </w:rPr>
        <w:t>5 min</w:t>
      </w:r>
    </w:p>
    <w:p w:rsidR="003C557E" w:rsidRPr="00A45DA9" w:rsidRDefault="0024033A" w:rsidP="00720306">
      <w:pPr>
        <w:rPr>
          <w:sz w:val="24"/>
          <w:szCs w:val="24"/>
        </w:rPr>
      </w:pPr>
      <w:r w:rsidRPr="00A45DA9">
        <w:rPr>
          <w:sz w:val="24"/>
          <w:szCs w:val="24"/>
        </w:rPr>
        <w:t xml:space="preserve">Market </w:t>
      </w:r>
      <w:r w:rsidR="0040011D" w:rsidRPr="00A45DA9">
        <w:rPr>
          <w:sz w:val="24"/>
          <w:szCs w:val="24"/>
        </w:rPr>
        <w:t>Data Overview</w:t>
      </w:r>
      <w:r w:rsidR="005151B0">
        <w:rPr>
          <w:sz w:val="24"/>
          <w:szCs w:val="24"/>
        </w:rPr>
        <w:t>: Telling the Story</w:t>
      </w:r>
      <w:r w:rsidRPr="00A45DA9">
        <w:rPr>
          <w:sz w:val="24"/>
          <w:szCs w:val="24"/>
        </w:rPr>
        <w:tab/>
      </w:r>
      <w:r w:rsidRPr="00A45DA9">
        <w:rPr>
          <w:sz w:val="24"/>
          <w:szCs w:val="24"/>
        </w:rPr>
        <w:tab/>
      </w:r>
      <w:r w:rsidR="0040011D" w:rsidRPr="00A45DA9">
        <w:rPr>
          <w:sz w:val="24"/>
          <w:szCs w:val="24"/>
        </w:rPr>
        <w:t>1</w:t>
      </w:r>
      <w:r w:rsidR="003E245D" w:rsidRPr="00A45DA9">
        <w:rPr>
          <w:sz w:val="24"/>
          <w:szCs w:val="24"/>
        </w:rPr>
        <w:t>5</w:t>
      </w:r>
      <w:r w:rsidR="00587F60" w:rsidRPr="00A45DA9">
        <w:rPr>
          <w:sz w:val="24"/>
          <w:szCs w:val="24"/>
        </w:rPr>
        <w:t xml:space="preserve"> min</w:t>
      </w:r>
    </w:p>
    <w:p w:rsidR="005A7ECC" w:rsidRPr="00A45DA9" w:rsidRDefault="0040011D" w:rsidP="00720306">
      <w:pPr>
        <w:rPr>
          <w:sz w:val="24"/>
          <w:szCs w:val="24"/>
        </w:rPr>
      </w:pPr>
      <w:r w:rsidRPr="00A45DA9">
        <w:rPr>
          <w:sz w:val="24"/>
          <w:szCs w:val="24"/>
        </w:rPr>
        <w:t>Tool Demonstration</w:t>
      </w:r>
      <w:r w:rsidR="00191EC8" w:rsidRPr="00A45DA9">
        <w:rPr>
          <w:sz w:val="24"/>
          <w:szCs w:val="24"/>
        </w:rPr>
        <w:t xml:space="preserve"> </w:t>
      </w:r>
      <w:r w:rsidR="0024033A" w:rsidRPr="00A45DA9">
        <w:rPr>
          <w:sz w:val="24"/>
          <w:szCs w:val="24"/>
        </w:rPr>
        <w:tab/>
      </w:r>
      <w:r w:rsidR="0024033A" w:rsidRPr="00A45DA9">
        <w:rPr>
          <w:sz w:val="24"/>
          <w:szCs w:val="24"/>
        </w:rPr>
        <w:tab/>
      </w:r>
      <w:r w:rsidR="0000499E">
        <w:rPr>
          <w:sz w:val="24"/>
          <w:szCs w:val="24"/>
        </w:rPr>
        <w:tab/>
      </w:r>
      <w:r w:rsidR="005151B0">
        <w:rPr>
          <w:sz w:val="24"/>
          <w:szCs w:val="24"/>
        </w:rPr>
        <w:tab/>
      </w:r>
      <w:r w:rsidR="005151B0">
        <w:rPr>
          <w:sz w:val="24"/>
          <w:szCs w:val="24"/>
        </w:rPr>
        <w:tab/>
      </w:r>
      <w:r w:rsidR="003E245D" w:rsidRPr="00A45DA9">
        <w:rPr>
          <w:sz w:val="24"/>
          <w:szCs w:val="24"/>
        </w:rPr>
        <w:t>25</w:t>
      </w:r>
      <w:r w:rsidR="00587F60" w:rsidRPr="00A45DA9">
        <w:rPr>
          <w:sz w:val="24"/>
          <w:szCs w:val="24"/>
        </w:rPr>
        <w:t xml:space="preserve"> min</w:t>
      </w:r>
    </w:p>
    <w:p w:rsidR="003C557E" w:rsidRPr="00A45DA9" w:rsidRDefault="003E245D" w:rsidP="00720306">
      <w:pPr>
        <w:rPr>
          <w:sz w:val="24"/>
          <w:szCs w:val="24"/>
        </w:rPr>
      </w:pPr>
      <w:r w:rsidRPr="00A45DA9">
        <w:rPr>
          <w:sz w:val="24"/>
          <w:szCs w:val="24"/>
        </w:rPr>
        <w:t>Moderated D</w:t>
      </w:r>
      <w:r w:rsidR="0040011D" w:rsidRPr="00A45DA9">
        <w:rPr>
          <w:sz w:val="24"/>
          <w:szCs w:val="24"/>
        </w:rPr>
        <w:t xml:space="preserve">iscussion </w:t>
      </w:r>
      <w:r w:rsidR="0024033A" w:rsidRPr="00A45DA9">
        <w:rPr>
          <w:sz w:val="24"/>
          <w:szCs w:val="24"/>
        </w:rPr>
        <w:tab/>
      </w:r>
      <w:r w:rsidR="0024033A" w:rsidRPr="00A45DA9">
        <w:rPr>
          <w:sz w:val="24"/>
          <w:szCs w:val="24"/>
        </w:rPr>
        <w:tab/>
      </w:r>
      <w:r w:rsidR="005151B0">
        <w:rPr>
          <w:sz w:val="24"/>
          <w:szCs w:val="24"/>
        </w:rPr>
        <w:tab/>
      </w:r>
      <w:r w:rsidR="005151B0">
        <w:rPr>
          <w:sz w:val="24"/>
          <w:szCs w:val="24"/>
        </w:rPr>
        <w:tab/>
      </w:r>
      <w:r w:rsidR="0040011D" w:rsidRPr="00A45DA9">
        <w:rPr>
          <w:sz w:val="24"/>
          <w:szCs w:val="24"/>
        </w:rPr>
        <w:t>15</w:t>
      </w:r>
      <w:r w:rsidR="003C557E" w:rsidRPr="00A45DA9">
        <w:rPr>
          <w:sz w:val="24"/>
          <w:szCs w:val="24"/>
        </w:rPr>
        <w:t xml:space="preserve"> minutes </w:t>
      </w:r>
    </w:p>
    <w:p w:rsidR="00A672A0" w:rsidRPr="00A45DA9" w:rsidRDefault="00A672A0" w:rsidP="00720306">
      <w:pPr>
        <w:rPr>
          <w:sz w:val="24"/>
          <w:szCs w:val="24"/>
        </w:rPr>
      </w:pPr>
    </w:p>
    <w:p w:rsidR="0024033A" w:rsidRPr="00A45DA9" w:rsidRDefault="00A672A0" w:rsidP="0024033A">
      <w:pPr>
        <w:rPr>
          <w:sz w:val="24"/>
          <w:szCs w:val="24"/>
        </w:rPr>
      </w:pPr>
      <w:r w:rsidRPr="00A45DA9">
        <w:rPr>
          <w:b/>
          <w:sz w:val="24"/>
          <w:szCs w:val="24"/>
          <w:highlight w:val="white"/>
        </w:rPr>
        <w:t xml:space="preserve">Audience: </w:t>
      </w:r>
      <w:r w:rsidR="0024033A" w:rsidRPr="00A45DA9">
        <w:rPr>
          <w:sz w:val="24"/>
          <w:szCs w:val="24"/>
          <w:highlight w:val="white"/>
        </w:rPr>
        <w:t>The target audience</w:t>
      </w:r>
      <w:r w:rsidR="0024033A" w:rsidRPr="00A45DA9">
        <w:rPr>
          <w:sz w:val="24"/>
          <w:szCs w:val="24"/>
        </w:rPr>
        <w:t xml:space="preserve"> is policy makers, market administrators, ecosystem service practitioners, landowners, and academics. Town Hall participants will learn about the </w:t>
      </w:r>
      <w:proofErr w:type="spellStart"/>
      <w:r w:rsidR="0024033A" w:rsidRPr="00A45DA9">
        <w:rPr>
          <w:sz w:val="24"/>
          <w:szCs w:val="24"/>
        </w:rPr>
        <w:t>EnviroAtlas</w:t>
      </w:r>
      <w:proofErr w:type="spellEnd"/>
      <w:r w:rsidR="0024033A" w:rsidRPr="00A45DA9">
        <w:rPr>
          <w:sz w:val="24"/>
          <w:szCs w:val="24"/>
        </w:rPr>
        <w:t xml:space="preserve"> tool and the newly available ecosystem markets data, and how they can use them to learn about markets across the country. </w:t>
      </w:r>
    </w:p>
    <w:p w:rsidR="0024033A" w:rsidRPr="00A45DA9" w:rsidRDefault="0024033A" w:rsidP="0024033A">
      <w:pPr>
        <w:rPr>
          <w:sz w:val="24"/>
          <w:szCs w:val="24"/>
        </w:rPr>
      </w:pPr>
    </w:p>
    <w:p w:rsidR="00CC06E0" w:rsidRPr="00A45DA9" w:rsidRDefault="00A672A0" w:rsidP="00720306">
      <w:pPr>
        <w:rPr>
          <w:sz w:val="24"/>
          <w:szCs w:val="24"/>
        </w:rPr>
      </w:pPr>
      <w:r w:rsidRPr="00A45DA9">
        <w:rPr>
          <w:b/>
          <w:sz w:val="24"/>
          <w:szCs w:val="24"/>
          <w:highlight w:val="white"/>
        </w:rPr>
        <w:t>Conference Themes</w:t>
      </w:r>
      <w:r w:rsidRPr="00A45DA9">
        <w:rPr>
          <w:sz w:val="24"/>
          <w:szCs w:val="24"/>
          <w:highlight w:val="white"/>
        </w:rPr>
        <w:t>:</w:t>
      </w:r>
      <w:r w:rsidR="00CC06E0" w:rsidRPr="00A45DA9">
        <w:rPr>
          <w:sz w:val="24"/>
          <w:szCs w:val="24"/>
        </w:rPr>
        <w:t xml:space="preserve"> This </w:t>
      </w:r>
      <w:r w:rsidR="00A63DBC" w:rsidRPr="00A45DA9">
        <w:rPr>
          <w:sz w:val="24"/>
          <w:szCs w:val="24"/>
        </w:rPr>
        <w:t xml:space="preserve">Town Hall integrates several of the conference themes, and provides a new decision support tool for policy makers, environmental market participants and public stakeholders interested in ecosystem services. </w:t>
      </w:r>
      <w:r w:rsidR="009B4E06" w:rsidRPr="00A45DA9">
        <w:rPr>
          <w:sz w:val="24"/>
          <w:szCs w:val="24"/>
        </w:rPr>
        <w:t>Primary themes</w:t>
      </w:r>
      <w:r w:rsidR="00A63DBC" w:rsidRPr="00A45DA9">
        <w:rPr>
          <w:sz w:val="24"/>
          <w:szCs w:val="24"/>
        </w:rPr>
        <w:t xml:space="preserve"> include:</w:t>
      </w:r>
    </w:p>
    <w:p w:rsidR="00A63DBC" w:rsidRPr="00A45DA9" w:rsidRDefault="00A63DBC" w:rsidP="00A63DBC">
      <w:pPr>
        <w:pStyle w:val="ListParagraph"/>
        <w:numPr>
          <w:ilvl w:val="0"/>
          <w:numId w:val="4"/>
        </w:numPr>
        <w:rPr>
          <w:sz w:val="24"/>
          <w:szCs w:val="24"/>
        </w:rPr>
      </w:pPr>
      <w:r w:rsidRPr="00A45DA9">
        <w:rPr>
          <w:sz w:val="24"/>
          <w:szCs w:val="24"/>
        </w:rPr>
        <w:lastRenderedPageBreak/>
        <w:t>Markets</w:t>
      </w:r>
    </w:p>
    <w:p w:rsidR="00A63DBC" w:rsidRPr="00A45DA9" w:rsidRDefault="00A63DBC" w:rsidP="00A63DBC">
      <w:pPr>
        <w:pStyle w:val="ListParagraph"/>
        <w:numPr>
          <w:ilvl w:val="0"/>
          <w:numId w:val="4"/>
        </w:numPr>
        <w:rPr>
          <w:sz w:val="24"/>
          <w:szCs w:val="24"/>
        </w:rPr>
      </w:pPr>
      <w:r w:rsidRPr="00A45DA9">
        <w:rPr>
          <w:sz w:val="24"/>
          <w:szCs w:val="24"/>
        </w:rPr>
        <w:t>Methods for Quantification, Modeling, and Mapping</w:t>
      </w:r>
    </w:p>
    <w:p w:rsidR="00A63DBC" w:rsidRPr="00A45DA9" w:rsidRDefault="00A63DBC" w:rsidP="00A63DBC">
      <w:pPr>
        <w:pStyle w:val="ListParagraph"/>
        <w:numPr>
          <w:ilvl w:val="0"/>
          <w:numId w:val="4"/>
        </w:numPr>
        <w:rPr>
          <w:sz w:val="24"/>
          <w:szCs w:val="24"/>
        </w:rPr>
      </w:pPr>
      <w:r w:rsidRPr="00A45DA9">
        <w:rPr>
          <w:sz w:val="24"/>
          <w:szCs w:val="24"/>
        </w:rPr>
        <w:t>Public-Private Partnerships and Inter-Agency Coordination</w:t>
      </w:r>
    </w:p>
    <w:p w:rsidR="00A672A0" w:rsidRPr="00A45DA9" w:rsidRDefault="00A672A0" w:rsidP="00720306">
      <w:pPr>
        <w:rPr>
          <w:sz w:val="24"/>
          <w:szCs w:val="24"/>
        </w:rPr>
      </w:pPr>
    </w:p>
    <w:p w:rsidR="00A672A0" w:rsidRPr="00A45DA9" w:rsidRDefault="00A672A0" w:rsidP="00A672A0">
      <w:pPr>
        <w:pStyle w:val="Normal1"/>
        <w:widowControl w:val="0"/>
        <w:spacing w:line="240" w:lineRule="auto"/>
        <w:rPr>
          <w:rFonts w:ascii="Times New Roman" w:eastAsia="Times New Roman" w:hAnsi="Times New Roman" w:cs="Times New Roman"/>
          <w:b/>
          <w:sz w:val="24"/>
        </w:rPr>
      </w:pPr>
      <w:r w:rsidRPr="00A45DA9">
        <w:rPr>
          <w:rFonts w:ascii="Times New Roman" w:eastAsia="Times New Roman" w:hAnsi="Times New Roman" w:cs="Times New Roman"/>
          <w:b/>
          <w:sz w:val="24"/>
        </w:rPr>
        <w:t>Contact Information for Invited Speakers:</w:t>
      </w:r>
    </w:p>
    <w:tbl>
      <w:tblPr>
        <w:tblStyle w:val="TableGrid"/>
        <w:tblW w:w="8732" w:type="dxa"/>
        <w:tblLook w:val="04A0" w:firstRow="1" w:lastRow="0" w:firstColumn="1" w:lastColumn="0" w:noHBand="0" w:noVBand="1"/>
      </w:tblPr>
      <w:tblGrid>
        <w:gridCol w:w="2808"/>
        <w:gridCol w:w="1980"/>
        <w:gridCol w:w="2700"/>
        <w:gridCol w:w="1244"/>
      </w:tblGrid>
      <w:tr w:rsidR="00B6367C" w:rsidRPr="00A45DA9" w:rsidTr="00A45DA9">
        <w:tc>
          <w:tcPr>
            <w:tcW w:w="2808" w:type="dxa"/>
          </w:tcPr>
          <w:p w:rsidR="00B6367C" w:rsidRPr="00A45DA9" w:rsidRDefault="00B6367C" w:rsidP="001E2DC9">
            <w:pPr>
              <w:pStyle w:val="Normal1"/>
              <w:widowControl w:val="0"/>
              <w:spacing w:line="240" w:lineRule="auto"/>
              <w:rPr>
                <w:rFonts w:ascii="Times New Roman" w:hAnsi="Times New Roman" w:cs="Times New Roman"/>
                <w:b/>
                <w:sz w:val="24"/>
              </w:rPr>
            </w:pPr>
            <w:r w:rsidRPr="00A45DA9">
              <w:rPr>
                <w:rFonts w:ascii="Times New Roman" w:hAnsi="Times New Roman" w:cs="Times New Roman"/>
                <w:b/>
                <w:sz w:val="24"/>
              </w:rPr>
              <w:t>Speaker</w:t>
            </w:r>
          </w:p>
        </w:tc>
        <w:tc>
          <w:tcPr>
            <w:tcW w:w="1980" w:type="dxa"/>
          </w:tcPr>
          <w:p w:rsidR="00B6367C" w:rsidRPr="00A45DA9" w:rsidRDefault="00B6367C" w:rsidP="001E2DC9">
            <w:pPr>
              <w:pStyle w:val="Normal1"/>
              <w:widowControl w:val="0"/>
              <w:spacing w:line="240" w:lineRule="auto"/>
              <w:rPr>
                <w:rFonts w:ascii="Times New Roman" w:hAnsi="Times New Roman" w:cs="Times New Roman"/>
                <w:b/>
                <w:sz w:val="24"/>
              </w:rPr>
            </w:pPr>
            <w:r w:rsidRPr="00A45DA9">
              <w:rPr>
                <w:rFonts w:ascii="Times New Roman" w:hAnsi="Times New Roman" w:cs="Times New Roman"/>
                <w:b/>
                <w:sz w:val="24"/>
              </w:rPr>
              <w:t>Topic</w:t>
            </w:r>
          </w:p>
        </w:tc>
        <w:tc>
          <w:tcPr>
            <w:tcW w:w="2700" w:type="dxa"/>
          </w:tcPr>
          <w:p w:rsidR="00B6367C" w:rsidRPr="00A45DA9" w:rsidRDefault="00B6367C" w:rsidP="00316C54">
            <w:pPr>
              <w:pStyle w:val="Normal1"/>
              <w:widowControl w:val="0"/>
              <w:spacing w:line="240" w:lineRule="auto"/>
              <w:rPr>
                <w:rFonts w:ascii="Times New Roman" w:hAnsi="Times New Roman" w:cs="Times New Roman"/>
                <w:b/>
                <w:sz w:val="24"/>
              </w:rPr>
            </w:pPr>
            <w:r w:rsidRPr="00A45DA9">
              <w:rPr>
                <w:rFonts w:ascii="Times New Roman" w:hAnsi="Times New Roman" w:cs="Times New Roman"/>
                <w:b/>
                <w:sz w:val="24"/>
              </w:rPr>
              <w:t>E-mail contact</w:t>
            </w:r>
          </w:p>
        </w:tc>
        <w:tc>
          <w:tcPr>
            <w:tcW w:w="1244" w:type="dxa"/>
          </w:tcPr>
          <w:p w:rsidR="00B6367C" w:rsidRPr="00A45DA9" w:rsidRDefault="00B6367C" w:rsidP="00316C54">
            <w:pPr>
              <w:pStyle w:val="Normal1"/>
              <w:widowControl w:val="0"/>
              <w:spacing w:line="240" w:lineRule="auto"/>
              <w:rPr>
                <w:rFonts w:ascii="Times New Roman" w:hAnsi="Times New Roman" w:cs="Times New Roman"/>
                <w:b/>
                <w:sz w:val="24"/>
              </w:rPr>
            </w:pPr>
            <w:r w:rsidRPr="00A45DA9">
              <w:rPr>
                <w:rFonts w:ascii="Times New Roman" w:hAnsi="Times New Roman" w:cs="Times New Roman"/>
                <w:b/>
                <w:sz w:val="24"/>
              </w:rPr>
              <w:t>Status</w:t>
            </w:r>
          </w:p>
        </w:tc>
      </w:tr>
      <w:tr w:rsidR="00B6367C" w:rsidRPr="00A45DA9" w:rsidTr="00A45DA9">
        <w:tc>
          <w:tcPr>
            <w:tcW w:w="2808" w:type="dxa"/>
          </w:tcPr>
          <w:p w:rsidR="0000499E" w:rsidRDefault="00B6367C" w:rsidP="0024033A">
            <w:pPr>
              <w:pStyle w:val="Normal1"/>
              <w:widowControl w:val="0"/>
              <w:spacing w:line="240" w:lineRule="auto"/>
              <w:rPr>
                <w:rFonts w:ascii="Times New Roman" w:hAnsi="Times New Roman" w:cs="Times New Roman"/>
              </w:rPr>
            </w:pPr>
            <w:r w:rsidRPr="0000499E">
              <w:rPr>
                <w:rFonts w:ascii="Times New Roman" w:hAnsi="Times New Roman" w:cs="Times New Roman"/>
              </w:rPr>
              <w:t xml:space="preserve">Chris Hartley </w:t>
            </w:r>
          </w:p>
          <w:p w:rsidR="00B6367C" w:rsidRPr="0000499E" w:rsidRDefault="00B6367C" w:rsidP="0024033A">
            <w:pPr>
              <w:pStyle w:val="Normal1"/>
              <w:widowControl w:val="0"/>
              <w:spacing w:line="240" w:lineRule="auto"/>
              <w:rPr>
                <w:rFonts w:ascii="Times New Roman" w:hAnsi="Times New Roman" w:cs="Times New Roman"/>
              </w:rPr>
            </w:pPr>
            <w:r w:rsidRPr="0000499E">
              <w:rPr>
                <w:rFonts w:ascii="Times New Roman" w:hAnsi="Times New Roman" w:cs="Times New Roman"/>
              </w:rPr>
              <w:t>(USDA)</w:t>
            </w:r>
          </w:p>
        </w:tc>
        <w:tc>
          <w:tcPr>
            <w:tcW w:w="1980" w:type="dxa"/>
          </w:tcPr>
          <w:p w:rsidR="00B6367C" w:rsidRPr="0000499E" w:rsidRDefault="00B6367C" w:rsidP="001E2DC9">
            <w:pPr>
              <w:pStyle w:val="Normal1"/>
              <w:widowControl w:val="0"/>
              <w:spacing w:line="240" w:lineRule="auto"/>
              <w:rPr>
                <w:rFonts w:ascii="Times New Roman" w:hAnsi="Times New Roman" w:cs="Times New Roman"/>
              </w:rPr>
            </w:pPr>
            <w:r w:rsidRPr="0000499E">
              <w:rPr>
                <w:rFonts w:ascii="Times New Roman" w:hAnsi="Times New Roman" w:cs="Times New Roman"/>
              </w:rPr>
              <w:t>Moderator</w:t>
            </w:r>
          </w:p>
        </w:tc>
        <w:tc>
          <w:tcPr>
            <w:tcW w:w="2700" w:type="dxa"/>
          </w:tcPr>
          <w:p w:rsidR="00B6367C" w:rsidRPr="0000499E" w:rsidRDefault="00B6367C" w:rsidP="001E2DC9">
            <w:pPr>
              <w:pStyle w:val="Normal1"/>
              <w:widowControl w:val="0"/>
              <w:spacing w:line="240" w:lineRule="auto"/>
              <w:rPr>
                <w:rFonts w:ascii="Times New Roman" w:hAnsi="Times New Roman" w:cs="Times New Roman"/>
              </w:rPr>
            </w:pPr>
            <w:r w:rsidRPr="0000499E">
              <w:rPr>
                <w:rStyle w:val="Hyperlink"/>
                <w:rFonts w:ascii="Times New Roman" w:eastAsia="Times New Roman" w:hAnsi="Times New Roman" w:cs="Times New Roman"/>
                <w:lang w:eastAsia="en-US"/>
              </w:rPr>
              <w:t>chartley@oce.usda.gov</w:t>
            </w:r>
          </w:p>
        </w:tc>
        <w:tc>
          <w:tcPr>
            <w:tcW w:w="1244" w:type="dxa"/>
          </w:tcPr>
          <w:p w:rsidR="00B6367C" w:rsidRPr="0000499E" w:rsidRDefault="00B6367C" w:rsidP="001E2DC9">
            <w:pPr>
              <w:pStyle w:val="Normal1"/>
              <w:widowControl w:val="0"/>
              <w:spacing w:line="240" w:lineRule="auto"/>
              <w:rPr>
                <w:rFonts w:ascii="Times New Roman" w:hAnsi="Times New Roman" w:cs="Times New Roman"/>
              </w:rPr>
            </w:pPr>
            <w:r w:rsidRPr="0000499E">
              <w:rPr>
                <w:rFonts w:ascii="Times New Roman" w:hAnsi="Times New Roman" w:cs="Times New Roman"/>
              </w:rPr>
              <w:t>Accepted</w:t>
            </w:r>
          </w:p>
        </w:tc>
      </w:tr>
      <w:tr w:rsidR="00B6367C" w:rsidRPr="00A45DA9" w:rsidTr="00A45DA9">
        <w:tc>
          <w:tcPr>
            <w:tcW w:w="2808" w:type="dxa"/>
          </w:tcPr>
          <w:p w:rsidR="00A45DA9" w:rsidRPr="0000499E" w:rsidRDefault="00A45DA9" w:rsidP="00A45DA9">
            <w:pPr>
              <w:pStyle w:val="Normal1"/>
              <w:widowControl w:val="0"/>
              <w:spacing w:line="240" w:lineRule="auto"/>
              <w:rPr>
                <w:rFonts w:ascii="Times New Roman" w:hAnsi="Times New Roman" w:cs="Times New Roman"/>
              </w:rPr>
            </w:pPr>
            <w:r w:rsidRPr="0000499E">
              <w:rPr>
                <w:rFonts w:ascii="Times New Roman" w:hAnsi="Times New Roman" w:cs="Times New Roman"/>
              </w:rPr>
              <w:t>Genevieve</w:t>
            </w:r>
            <w:r w:rsidR="00B6367C" w:rsidRPr="0000499E">
              <w:rPr>
                <w:rFonts w:ascii="Times New Roman" w:hAnsi="Times New Roman" w:cs="Times New Roman"/>
              </w:rPr>
              <w:t xml:space="preserve"> Bennett</w:t>
            </w:r>
            <w:r w:rsidRPr="0000499E">
              <w:rPr>
                <w:rFonts w:ascii="Times New Roman" w:hAnsi="Times New Roman" w:cs="Times New Roman"/>
              </w:rPr>
              <w:t xml:space="preserve">  </w:t>
            </w:r>
          </w:p>
          <w:p w:rsidR="00B6367C" w:rsidRPr="0000499E" w:rsidRDefault="00B6367C" w:rsidP="00A45DA9">
            <w:pPr>
              <w:pStyle w:val="Normal1"/>
              <w:widowControl w:val="0"/>
              <w:spacing w:line="240" w:lineRule="auto"/>
              <w:rPr>
                <w:rFonts w:ascii="Times New Roman" w:hAnsi="Times New Roman" w:cs="Times New Roman"/>
              </w:rPr>
            </w:pPr>
            <w:r w:rsidRPr="0000499E">
              <w:rPr>
                <w:rFonts w:ascii="Times New Roman" w:hAnsi="Times New Roman" w:cs="Times New Roman"/>
              </w:rPr>
              <w:t>(Forest Trends)</w:t>
            </w:r>
          </w:p>
        </w:tc>
        <w:tc>
          <w:tcPr>
            <w:tcW w:w="1980" w:type="dxa"/>
          </w:tcPr>
          <w:p w:rsidR="00B6367C" w:rsidRPr="0000499E" w:rsidRDefault="00A45DA9" w:rsidP="001E2DC9">
            <w:pPr>
              <w:pStyle w:val="Normal1"/>
              <w:widowControl w:val="0"/>
              <w:spacing w:line="240" w:lineRule="auto"/>
              <w:rPr>
                <w:rFonts w:ascii="Times New Roman" w:hAnsi="Times New Roman" w:cs="Times New Roman"/>
              </w:rPr>
            </w:pPr>
            <w:r w:rsidRPr="0000499E">
              <w:rPr>
                <w:rFonts w:ascii="Times New Roman" w:hAnsi="Times New Roman" w:cs="Times New Roman"/>
              </w:rPr>
              <w:t>Markets d</w:t>
            </w:r>
            <w:r w:rsidR="00B6367C" w:rsidRPr="0000499E">
              <w:rPr>
                <w:rFonts w:ascii="Times New Roman" w:hAnsi="Times New Roman" w:cs="Times New Roman"/>
              </w:rPr>
              <w:t>ata</w:t>
            </w:r>
          </w:p>
        </w:tc>
        <w:tc>
          <w:tcPr>
            <w:tcW w:w="2700" w:type="dxa"/>
          </w:tcPr>
          <w:p w:rsidR="00B6367C" w:rsidRPr="0000499E" w:rsidRDefault="00B6367C" w:rsidP="001E2DC9">
            <w:pPr>
              <w:pStyle w:val="Normal1"/>
              <w:widowControl w:val="0"/>
              <w:spacing w:line="240" w:lineRule="auto"/>
              <w:rPr>
                <w:rFonts w:ascii="Times New Roman" w:hAnsi="Times New Roman" w:cs="Times New Roman"/>
                <w:color w:val="000000" w:themeColor="text1"/>
              </w:rPr>
            </w:pPr>
            <w:r w:rsidRPr="0000499E">
              <w:rPr>
                <w:rStyle w:val="Hyperlink"/>
                <w:rFonts w:ascii="Times New Roman" w:eastAsia="Times New Roman" w:hAnsi="Times New Roman" w:cs="Times New Roman"/>
                <w:lang w:eastAsia="en-US"/>
              </w:rPr>
              <w:t>gbennett@forest-trends.org</w:t>
            </w:r>
          </w:p>
        </w:tc>
        <w:tc>
          <w:tcPr>
            <w:tcW w:w="1244" w:type="dxa"/>
          </w:tcPr>
          <w:p w:rsidR="00B6367C" w:rsidRPr="0000499E" w:rsidRDefault="00B6367C" w:rsidP="001E2DC9">
            <w:pPr>
              <w:pStyle w:val="Normal1"/>
              <w:widowControl w:val="0"/>
              <w:spacing w:line="240" w:lineRule="auto"/>
              <w:rPr>
                <w:rFonts w:ascii="Times New Roman" w:hAnsi="Times New Roman" w:cs="Times New Roman"/>
              </w:rPr>
            </w:pPr>
            <w:r w:rsidRPr="0000499E">
              <w:rPr>
                <w:rFonts w:ascii="Times New Roman" w:hAnsi="Times New Roman" w:cs="Times New Roman"/>
              </w:rPr>
              <w:t>Accepted</w:t>
            </w:r>
          </w:p>
        </w:tc>
      </w:tr>
      <w:tr w:rsidR="00B6367C" w:rsidRPr="00A45DA9" w:rsidTr="00A45DA9">
        <w:tc>
          <w:tcPr>
            <w:tcW w:w="2808" w:type="dxa"/>
          </w:tcPr>
          <w:p w:rsidR="0000499E" w:rsidRDefault="00B6367C" w:rsidP="0024033A">
            <w:pPr>
              <w:pStyle w:val="Normal1"/>
              <w:widowControl w:val="0"/>
              <w:spacing w:line="240" w:lineRule="auto"/>
              <w:rPr>
                <w:rFonts w:ascii="Times New Roman" w:hAnsi="Times New Roman" w:cs="Times New Roman"/>
              </w:rPr>
            </w:pPr>
            <w:r w:rsidRPr="0000499E">
              <w:rPr>
                <w:rFonts w:ascii="Times New Roman" w:hAnsi="Times New Roman" w:cs="Times New Roman"/>
              </w:rPr>
              <w:t xml:space="preserve">Annie Neale </w:t>
            </w:r>
          </w:p>
          <w:p w:rsidR="00B6367C" w:rsidRPr="0000499E" w:rsidRDefault="00B6367C" w:rsidP="0024033A">
            <w:pPr>
              <w:pStyle w:val="Normal1"/>
              <w:widowControl w:val="0"/>
              <w:spacing w:line="240" w:lineRule="auto"/>
              <w:rPr>
                <w:rFonts w:ascii="Times New Roman" w:hAnsi="Times New Roman" w:cs="Times New Roman"/>
              </w:rPr>
            </w:pPr>
            <w:r w:rsidRPr="0000499E">
              <w:rPr>
                <w:rFonts w:ascii="Times New Roman" w:hAnsi="Times New Roman" w:cs="Times New Roman"/>
              </w:rPr>
              <w:t>(EPA)</w:t>
            </w:r>
          </w:p>
        </w:tc>
        <w:tc>
          <w:tcPr>
            <w:tcW w:w="1980" w:type="dxa"/>
          </w:tcPr>
          <w:p w:rsidR="00B6367C" w:rsidRPr="0000499E" w:rsidRDefault="00A45DA9" w:rsidP="001E2DC9">
            <w:pPr>
              <w:pStyle w:val="Normal1"/>
              <w:widowControl w:val="0"/>
              <w:spacing w:line="240" w:lineRule="auto"/>
              <w:rPr>
                <w:rFonts w:ascii="Times New Roman" w:hAnsi="Times New Roman" w:cs="Times New Roman"/>
              </w:rPr>
            </w:pPr>
            <w:r w:rsidRPr="0000499E">
              <w:rPr>
                <w:rFonts w:ascii="Times New Roman" w:hAnsi="Times New Roman" w:cs="Times New Roman"/>
              </w:rPr>
              <w:t>Tool d</w:t>
            </w:r>
            <w:r w:rsidR="00B6367C" w:rsidRPr="0000499E">
              <w:rPr>
                <w:rFonts w:ascii="Times New Roman" w:hAnsi="Times New Roman" w:cs="Times New Roman"/>
              </w:rPr>
              <w:t>emonstration</w:t>
            </w:r>
          </w:p>
        </w:tc>
        <w:tc>
          <w:tcPr>
            <w:tcW w:w="2700" w:type="dxa"/>
          </w:tcPr>
          <w:p w:rsidR="00B6367C" w:rsidRPr="0000499E" w:rsidRDefault="00A75D00" w:rsidP="0024033A">
            <w:pPr>
              <w:rPr>
                <w:color w:val="0563C1" w:themeColor="hyperlink"/>
                <w:szCs w:val="24"/>
                <w:u w:val="single"/>
              </w:rPr>
            </w:pPr>
            <w:hyperlink r:id="rId5" w:history="1">
              <w:r w:rsidR="00B6367C" w:rsidRPr="0000499E">
                <w:rPr>
                  <w:rStyle w:val="Hyperlink"/>
                  <w:szCs w:val="24"/>
                </w:rPr>
                <w:t>Neale.Anne@epa.gov</w:t>
              </w:r>
            </w:hyperlink>
            <w:r w:rsidR="00B6367C" w:rsidRPr="0000499E">
              <w:rPr>
                <w:rStyle w:val="Hyperlink"/>
                <w:szCs w:val="24"/>
              </w:rPr>
              <w:t xml:space="preserve"> </w:t>
            </w:r>
          </w:p>
        </w:tc>
        <w:tc>
          <w:tcPr>
            <w:tcW w:w="1244" w:type="dxa"/>
          </w:tcPr>
          <w:p w:rsidR="00B6367C" w:rsidRPr="0000499E" w:rsidRDefault="00B6367C" w:rsidP="001E2DC9">
            <w:pPr>
              <w:pStyle w:val="Normal1"/>
              <w:widowControl w:val="0"/>
              <w:spacing w:line="240" w:lineRule="auto"/>
              <w:rPr>
                <w:rFonts w:ascii="Times New Roman" w:hAnsi="Times New Roman" w:cs="Times New Roman"/>
              </w:rPr>
            </w:pPr>
            <w:r w:rsidRPr="0000499E">
              <w:rPr>
                <w:rFonts w:ascii="Times New Roman" w:hAnsi="Times New Roman" w:cs="Times New Roman"/>
              </w:rPr>
              <w:t>Accepted</w:t>
            </w:r>
          </w:p>
        </w:tc>
      </w:tr>
    </w:tbl>
    <w:p w:rsidR="00D453FC" w:rsidRPr="00A45DA9" w:rsidRDefault="0024033A" w:rsidP="00720306">
      <w:pPr>
        <w:rPr>
          <w:b/>
          <w:sz w:val="24"/>
          <w:szCs w:val="24"/>
        </w:rPr>
      </w:pPr>
      <w:r w:rsidRPr="00A45DA9">
        <w:rPr>
          <w:b/>
          <w:sz w:val="24"/>
          <w:szCs w:val="24"/>
        </w:rPr>
        <w:t>Organizer</w:t>
      </w:r>
      <w:r w:rsidR="00D453FC" w:rsidRPr="00A45DA9">
        <w:rPr>
          <w:b/>
          <w:sz w:val="24"/>
          <w:szCs w:val="24"/>
        </w:rPr>
        <w:t xml:space="preserve">:  </w:t>
      </w:r>
    </w:p>
    <w:p w:rsidR="00D453FC" w:rsidRPr="00A45DA9" w:rsidRDefault="0040011D" w:rsidP="00720306">
      <w:pPr>
        <w:rPr>
          <w:sz w:val="24"/>
          <w:szCs w:val="24"/>
        </w:rPr>
      </w:pPr>
      <w:r w:rsidRPr="00A45DA9">
        <w:rPr>
          <w:sz w:val="24"/>
          <w:szCs w:val="24"/>
        </w:rPr>
        <w:t>Chris Hartley</w:t>
      </w:r>
      <w:r w:rsidR="00D453FC" w:rsidRPr="00A45DA9">
        <w:rPr>
          <w:sz w:val="24"/>
          <w:szCs w:val="24"/>
        </w:rPr>
        <w:t>, PhD (</w:t>
      </w:r>
      <w:r w:rsidRPr="00A45DA9">
        <w:rPr>
          <w:sz w:val="24"/>
          <w:szCs w:val="24"/>
        </w:rPr>
        <w:t>pri</w:t>
      </w:r>
      <w:r w:rsidR="00D453FC" w:rsidRPr="00A45DA9">
        <w:rPr>
          <w:sz w:val="24"/>
          <w:szCs w:val="24"/>
        </w:rPr>
        <w:t>mary contact)</w:t>
      </w:r>
    </w:p>
    <w:p w:rsidR="00D453FC" w:rsidRPr="00A45DA9" w:rsidRDefault="0040011D" w:rsidP="00D453FC">
      <w:pPr>
        <w:spacing w:line="240" w:lineRule="auto"/>
        <w:ind w:right="-20"/>
        <w:rPr>
          <w:rFonts w:eastAsia="Calibri"/>
          <w:sz w:val="24"/>
          <w:szCs w:val="24"/>
        </w:rPr>
      </w:pPr>
      <w:r w:rsidRPr="00A45DA9">
        <w:rPr>
          <w:rFonts w:eastAsia="Calibri"/>
          <w:sz w:val="24"/>
          <w:szCs w:val="24"/>
        </w:rPr>
        <w:t>USDA Office of Environmental Markets</w:t>
      </w:r>
    </w:p>
    <w:p w:rsidR="00D453FC" w:rsidRPr="00A45DA9" w:rsidRDefault="00A75D00" w:rsidP="00D453FC">
      <w:pPr>
        <w:spacing w:line="240" w:lineRule="auto"/>
        <w:ind w:right="-20"/>
        <w:rPr>
          <w:rFonts w:eastAsia="Calibri"/>
          <w:sz w:val="24"/>
          <w:szCs w:val="24"/>
        </w:rPr>
      </w:pPr>
      <w:hyperlink r:id="rId6" w:history="1">
        <w:r w:rsidR="0040011D" w:rsidRPr="00A45DA9">
          <w:rPr>
            <w:rStyle w:val="Hyperlink"/>
            <w:sz w:val="24"/>
            <w:szCs w:val="24"/>
          </w:rPr>
          <w:t>chartley@oce.usda.gov</w:t>
        </w:r>
      </w:hyperlink>
      <w:r w:rsidR="0040011D" w:rsidRPr="00A45DA9">
        <w:rPr>
          <w:sz w:val="24"/>
          <w:szCs w:val="24"/>
        </w:rPr>
        <w:t xml:space="preserve"> </w:t>
      </w:r>
    </w:p>
    <w:p w:rsidR="00D453FC" w:rsidRPr="00A45DA9" w:rsidRDefault="0040011D" w:rsidP="00720306">
      <w:pPr>
        <w:rPr>
          <w:sz w:val="24"/>
          <w:szCs w:val="24"/>
        </w:rPr>
      </w:pPr>
      <w:r w:rsidRPr="00A45DA9">
        <w:rPr>
          <w:sz w:val="24"/>
          <w:szCs w:val="24"/>
        </w:rPr>
        <w:t>202.690.0832</w:t>
      </w:r>
    </w:p>
    <w:p w:rsidR="0040011D" w:rsidRPr="00A45DA9" w:rsidRDefault="0040011D" w:rsidP="00720306">
      <w:pPr>
        <w:rPr>
          <w:sz w:val="24"/>
          <w:szCs w:val="24"/>
        </w:rPr>
      </w:pPr>
    </w:p>
    <w:p w:rsidR="003C557E" w:rsidRPr="00A45DA9" w:rsidRDefault="003C557E" w:rsidP="00720306">
      <w:pPr>
        <w:rPr>
          <w:sz w:val="24"/>
          <w:szCs w:val="24"/>
        </w:rPr>
      </w:pPr>
      <w:r w:rsidRPr="00A45DA9">
        <w:rPr>
          <w:b/>
          <w:sz w:val="24"/>
          <w:szCs w:val="24"/>
        </w:rPr>
        <w:t>Qualifications of Organizers:</w:t>
      </w:r>
    </w:p>
    <w:p w:rsidR="0022501E" w:rsidRPr="00A45DA9" w:rsidRDefault="0022501E" w:rsidP="0022501E">
      <w:pPr>
        <w:overflowPunct/>
        <w:spacing w:line="240" w:lineRule="auto"/>
        <w:textAlignment w:val="auto"/>
        <w:rPr>
          <w:color w:val="333333"/>
          <w:sz w:val="24"/>
          <w:szCs w:val="24"/>
        </w:rPr>
      </w:pPr>
      <w:r w:rsidRPr="00A45DA9">
        <w:rPr>
          <w:color w:val="333333"/>
          <w:sz w:val="24"/>
          <w:szCs w:val="24"/>
        </w:rPr>
        <w:lastRenderedPageBreak/>
        <w:t>Christopher Hartley is the Deputy Director and Senior Environmental Markets Analyst with the USDA Office of</w:t>
      </w:r>
      <w:r w:rsidR="0024033A" w:rsidRPr="00A45DA9">
        <w:rPr>
          <w:color w:val="333333"/>
          <w:sz w:val="24"/>
          <w:szCs w:val="24"/>
        </w:rPr>
        <w:t xml:space="preserve"> </w:t>
      </w:r>
      <w:r w:rsidRPr="00A45DA9">
        <w:rPr>
          <w:color w:val="333333"/>
          <w:sz w:val="24"/>
          <w:szCs w:val="24"/>
        </w:rPr>
        <w:t>Environmental Markets. He is responsible for the development of policy, tools, and metrics to support landowner</w:t>
      </w:r>
      <w:r w:rsidR="0024033A" w:rsidRPr="00A45DA9">
        <w:rPr>
          <w:color w:val="333333"/>
          <w:sz w:val="24"/>
          <w:szCs w:val="24"/>
        </w:rPr>
        <w:t xml:space="preserve"> </w:t>
      </w:r>
      <w:r w:rsidRPr="00A45DA9">
        <w:rPr>
          <w:color w:val="333333"/>
          <w:sz w:val="24"/>
          <w:szCs w:val="24"/>
        </w:rPr>
        <w:t>participation in ecosystem services markets. He holds a Doctorate in Agricultural Ecology and masters’ degrees in</w:t>
      </w:r>
      <w:r w:rsidR="0024033A" w:rsidRPr="00A45DA9">
        <w:rPr>
          <w:color w:val="333333"/>
          <w:sz w:val="24"/>
          <w:szCs w:val="24"/>
        </w:rPr>
        <w:t xml:space="preserve"> </w:t>
      </w:r>
      <w:r w:rsidRPr="00A45DA9">
        <w:rPr>
          <w:color w:val="333333"/>
          <w:sz w:val="24"/>
          <w:szCs w:val="24"/>
        </w:rPr>
        <w:t>Agronomy and International Agricultural Development from the University of California – Davis.</w:t>
      </w:r>
    </w:p>
    <w:p w:rsidR="0022501E" w:rsidRPr="00A45DA9" w:rsidRDefault="0022501E" w:rsidP="0022501E">
      <w:pPr>
        <w:overflowPunct/>
        <w:spacing w:line="240" w:lineRule="auto"/>
        <w:textAlignment w:val="auto"/>
        <w:rPr>
          <w:color w:val="333333"/>
          <w:sz w:val="24"/>
          <w:szCs w:val="24"/>
        </w:rPr>
      </w:pPr>
    </w:p>
    <w:p w:rsidR="0022501E" w:rsidRPr="00A45DA9" w:rsidRDefault="0022501E" w:rsidP="0022501E">
      <w:pPr>
        <w:overflowPunct/>
        <w:spacing w:line="240" w:lineRule="auto"/>
        <w:textAlignment w:val="auto"/>
        <w:rPr>
          <w:color w:val="333333"/>
          <w:sz w:val="24"/>
          <w:szCs w:val="24"/>
        </w:rPr>
      </w:pPr>
    </w:p>
    <w:p w:rsidR="009B4E06" w:rsidRPr="00A45DA9" w:rsidRDefault="009B4E06" w:rsidP="003C557E">
      <w:pPr>
        <w:rPr>
          <w:sz w:val="24"/>
          <w:szCs w:val="24"/>
        </w:rPr>
      </w:pPr>
    </w:p>
    <w:sectPr w:rsidR="009B4E06" w:rsidRPr="00A4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EE9"/>
    <w:multiLevelType w:val="hybridMultilevel"/>
    <w:tmpl w:val="A4C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70BC"/>
    <w:multiLevelType w:val="hybridMultilevel"/>
    <w:tmpl w:val="4396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5976"/>
    <w:multiLevelType w:val="multilevel"/>
    <w:tmpl w:val="80C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235B9"/>
    <w:multiLevelType w:val="hybridMultilevel"/>
    <w:tmpl w:val="96EE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347B9"/>
    <w:multiLevelType w:val="hybridMultilevel"/>
    <w:tmpl w:val="7362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A7A10"/>
    <w:multiLevelType w:val="hybridMultilevel"/>
    <w:tmpl w:val="0808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672CE"/>
    <w:multiLevelType w:val="hybridMultilevel"/>
    <w:tmpl w:val="119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11C4C"/>
    <w:multiLevelType w:val="hybridMultilevel"/>
    <w:tmpl w:val="89F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54161"/>
    <w:multiLevelType w:val="multilevel"/>
    <w:tmpl w:val="EFF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66A55"/>
    <w:multiLevelType w:val="multilevel"/>
    <w:tmpl w:val="1090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06"/>
    <w:rsid w:val="0000499E"/>
    <w:rsid w:val="00007020"/>
    <w:rsid w:val="0011614B"/>
    <w:rsid w:val="001253EE"/>
    <w:rsid w:val="00127C3C"/>
    <w:rsid w:val="00140712"/>
    <w:rsid w:val="00185351"/>
    <w:rsid w:val="00191EC8"/>
    <w:rsid w:val="001A3BC8"/>
    <w:rsid w:val="001D7F30"/>
    <w:rsid w:val="0022501E"/>
    <w:rsid w:val="0024033A"/>
    <w:rsid w:val="00316C54"/>
    <w:rsid w:val="00356330"/>
    <w:rsid w:val="0038265D"/>
    <w:rsid w:val="003C557E"/>
    <w:rsid w:val="003E245D"/>
    <w:rsid w:val="003F6B71"/>
    <w:rsid w:val="0040011D"/>
    <w:rsid w:val="004442E3"/>
    <w:rsid w:val="004E1E26"/>
    <w:rsid w:val="005151B0"/>
    <w:rsid w:val="00587F60"/>
    <w:rsid w:val="005A7ECC"/>
    <w:rsid w:val="005D5A11"/>
    <w:rsid w:val="00635137"/>
    <w:rsid w:val="00666BCC"/>
    <w:rsid w:val="006917B0"/>
    <w:rsid w:val="00720306"/>
    <w:rsid w:val="00766822"/>
    <w:rsid w:val="007B55BE"/>
    <w:rsid w:val="007B7B82"/>
    <w:rsid w:val="007C3E8F"/>
    <w:rsid w:val="007F25BF"/>
    <w:rsid w:val="00845FA6"/>
    <w:rsid w:val="008D3534"/>
    <w:rsid w:val="008F7BD8"/>
    <w:rsid w:val="009B4E06"/>
    <w:rsid w:val="00A0195B"/>
    <w:rsid w:val="00A45DA9"/>
    <w:rsid w:val="00A63DBC"/>
    <w:rsid w:val="00A672A0"/>
    <w:rsid w:val="00A75D00"/>
    <w:rsid w:val="00B6367C"/>
    <w:rsid w:val="00CC06E0"/>
    <w:rsid w:val="00D453FC"/>
    <w:rsid w:val="00DE266B"/>
    <w:rsid w:val="00E004E9"/>
    <w:rsid w:val="00E675E4"/>
    <w:rsid w:val="00E86183"/>
    <w:rsid w:val="00FF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5196D5-81BB-4639-901E-FD824BED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06"/>
    <w:pPr>
      <w:overflowPunct w:val="0"/>
      <w:autoSpaceDE w:val="0"/>
      <w:autoSpaceDN w:val="0"/>
      <w:adjustRightInd w:val="0"/>
      <w:spacing w:after="0" w:line="255" w:lineRule="exact"/>
      <w:textAlignment w:val="baseline"/>
    </w:pPr>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A3BC8"/>
    <w:pPr>
      <w:overflowPunct/>
      <w:autoSpaceDE/>
      <w:autoSpaceDN/>
      <w:adjustRightInd/>
      <w:spacing w:line="276" w:lineRule="auto"/>
      <w:textAlignment w:val="auto"/>
      <w:outlineLvl w:val="1"/>
    </w:pPr>
    <w:rPr>
      <w:rFonts w:asciiTheme="minorHAnsi" w:eastAsiaTheme="minorEastAsia" w:hAnsiTheme="minorHAnsi" w:cstheme="minorBidi"/>
      <w:smallCaps/>
      <w:spacing w:val="5"/>
      <w:sz w:val="28"/>
      <w:szCs w:val="28"/>
    </w:rPr>
  </w:style>
  <w:style w:type="paragraph" w:styleId="Heading4">
    <w:name w:val="heading 4"/>
    <w:basedOn w:val="Normal"/>
    <w:next w:val="Normal"/>
    <w:link w:val="Heading4Char"/>
    <w:uiPriority w:val="9"/>
    <w:semiHidden/>
    <w:unhideWhenUsed/>
    <w:qFormat/>
    <w:rsid w:val="00A63DB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0306"/>
    <w:rPr>
      <w:sz w:val="16"/>
    </w:rPr>
  </w:style>
  <w:style w:type="paragraph" w:styleId="CommentText">
    <w:name w:val="annotation text"/>
    <w:basedOn w:val="Normal"/>
    <w:link w:val="CommentTextChar"/>
    <w:rsid w:val="00720306"/>
    <w:pPr>
      <w:spacing w:line="240" w:lineRule="auto"/>
    </w:pPr>
    <w:rPr>
      <w:sz w:val="20"/>
    </w:rPr>
  </w:style>
  <w:style w:type="character" w:customStyle="1" w:styleId="CommentTextChar">
    <w:name w:val="Comment Text Char"/>
    <w:basedOn w:val="DefaultParagraphFont"/>
    <w:link w:val="CommentText"/>
    <w:rsid w:val="007203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03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06"/>
    <w:rPr>
      <w:rFonts w:ascii="Segoe UI" w:eastAsia="Times New Roman" w:hAnsi="Segoe UI" w:cs="Segoe UI"/>
      <w:sz w:val="18"/>
      <w:szCs w:val="18"/>
    </w:rPr>
  </w:style>
  <w:style w:type="character" w:styleId="Hyperlink">
    <w:name w:val="Hyperlink"/>
    <w:basedOn w:val="DefaultParagraphFont"/>
    <w:uiPriority w:val="99"/>
    <w:unhideWhenUsed/>
    <w:rsid w:val="00D453FC"/>
    <w:rPr>
      <w:color w:val="0563C1" w:themeColor="hyperlink"/>
      <w:u w:val="single"/>
    </w:rPr>
  </w:style>
  <w:style w:type="paragraph" w:customStyle="1" w:styleId="Normal1">
    <w:name w:val="Normal1"/>
    <w:rsid w:val="00A672A0"/>
    <w:pPr>
      <w:spacing w:after="0" w:line="276" w:lineRule="auto"/>
    </w:pPr>
    <w:rPr>
      <w:rFonts w:ascii="Arial" w:eastAsia="Arial" w:hAnsi="Arial" w:cs="Arial"/>
      <w:color w:val="000000"/>
      <w:szCs w:val="24"/>
      <w:lang w:eastAsia="ja-JP"/>
    </w:rPr>
  </w:style>
  <w:style w:type="character" w:customStyle="1" w:styleId="Heading2Char">
    <w:name w:val="Heading 2 Char"/>
    <w:basedOn w:val="DefaultParagraphFont"/>
    <w:link w:val="Heading2"/>
    <w:uiPriority w:val="9"/>
    <w:rsid w:val="001A3BC8"/>
    <w:rPr>
      <w:rFonts w:eastAsiaTheme="minorEastAsia"/>
      <w:smallCaps/>
      <w:spacing w:val="5"/>
      <w:sz w:val="28"/>
      <w:szCs w:val="28"/>
    </w:rPr>
  </w:style>
  <w:style w:type="paragraph" w:styleId="ListParagraph">
    <w:name w:val="List Paragraph"/>
    <w:basedOn w:val="Normal"/>
    <w:uiPriority w:val="34"/>
    <w:qFormat/>
    <w:rsid w:val="004E1E26"/>
    <w:pPr>
      <w:ind w:left="720"/>
      <w:contextualSpacing/>
    </w:pPr>
  </w:style>
  <w:style w:type="paragraph" w:styleId="CommentSubject">
    <w:name w:val="annotation subject"/>
    <w:basedOn w:val="CommentText"/>
    <w:next w:val="CommentText"/>
    <w:link w:val="CommentSubjectChar"/>
    <w:uiPriority w:val="99"/>
    <w:semiHidden/>
    <w:unhideWhenUsed/>
    <w:rsid w:val="00E004E9"/>
    <w:rPr>
      <w:b/>
      <w:bCs/>
    </w:rPr>
  </w:style>
  <w:style w:type="character" w:customStyle="1" w:styleId="CommentSubjectChar">
    <w:name w:val="Comment Subject Char"/>
    <w:basedOn w:val="CommentTextChar"/>
    <w:link w:val="CommentSubject"/>
    <w:uiPriority w:val="99"/>
    <w:semiHidden/>
    <w:rsid w:val="00E004E9"/>
    <w:rPr>
      <w:rFonts w:ascii="Times New Roman" w:eastAsia="Times New Roman" w:hAnsi="Times New Roman" w:cs="Times New Roman"/>
      <w:b/>
      <w:bCs/>
      <w:sz w:val="20"/>
      <w:szCs w:val="20"/>
    </w:rPr>
  </w:style>
  <w:style w:type="paragraph" w:styleId="Revision">
    <w:name w:val="Revision"/>
    <w:hidden/>
    <w:uiPriority w:val="99"/>
    <w:semiHidden/>
    <w:rsid w:val="006917B0"/>
    <w:pPr>
      <w:spacing w:after="0" w:line="240" w:lineRule="auto"/>
    </w:pPr>
    <w:rPr>
      <w:rFonts w:ascii="Times New Roman" w:eastAsia="Times New Roman" w:hAnsi="Times New Roman" w:cs="Times New Roman"/>
      <w:szCs w:val="20"/>
    </w:rPr>
  </w:style>
  <w:style w:type="table" w:styleId="TableGrid">
    <w:name w:val="Table Grid"/>
    <w:basedOn w:val="TableNormal"/>
    <w:uiPriority w:val="39"/>
    <w:rsid w:val="0019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63DBC"/>
    <w:rPr>
      <w:rFonts w:asciiTheme="majorHAnsi" w:eastAsiaTheme="majorEastAsia" w:hAnsiTheme="majorHAnsi" w:cstheme="majorBidi"/>
      <w:b/>
      <w:bCs/>
      <w:i/>
      <w:iCs/>
      <w:color w:val="5B9BD5"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179">
      <w:bodyDiv w:val="1"/>
      <w:marLeft w:val="0"/>
      <w:marRight w:val="0"/>
      <w:marTop w:val="0"/>
      <w:marBottom w:val="0"/>
      <w:divBdr>
        <w:top w:val="none" w:sz="0" w:space="0" w:color="auto"/>
        <w:left w:val="none" w:sz="0" w:space="0" w:color="auto"/>
        <w:bottom w:val="none" w:sz="0" w:space="0" w:color="auto"/>
        <w:right w:val="none" w:sz="0" w:space="0" w:color="auto"/>
      </w:divBdr>
    </w:div>
    <w:div w:id="1518617715">
      <w:bodyDiv w:val="1"/>
      <w:marLeft w:val="0"/>
      <w:marRight w:val="0"/>
      <w:marTop w:val="0"/>
      <w:marBottom w:val="0"/>
      <w:divBdr>
        <w:top w:val="none" w:sz="0" w:space="0" w:color="auto"/>
        <w:left w:val="none" w:sz="0" w:space="0" w:color="auto"/>
        <w:bottom w:val="none" w:sz="0" w:space="0" w:color="auto"/>
        <w:right w:val="none" w:sz="0" w:space="0" w:color="auto"/>
      </w:divBdr>
    </w:div>
    <w:div w:id="1583297583">
      <w:bodyDiv w:val="1"/>
      <w:marLeft w:val="0"/>
      <w:marRight w:val="0"/>
      <w:marTop w:val="0"/>
      <w:marBottom w:val="0"/>
      <w:divBdr>
        <w:top w:val="none" w:sz="0" w:space="0" w:color="auto"/>
        <w:left w:val="none" w:sz="0" w:space="0" w:color="auto"/>
        <w:bottom w:val="none" w:sz="0" w:space="0" w:color="auto"/>
        <w:right w:val="none" w:sz="0" w:space="0" w:color="auto"/>
      </w:divBdr>
    </w:div>
    <w:div w:id="1690639996">
      <w:bodyDiv w:val="1"/>
      <w:marLeft w:val="0"/>
      <w:marRight w:val="0"/>
      <w:marTop w:val="0"/>
      <w:marBottom w:val="0"/>
      <w:divBdr>
        <w:top w:val="none" w:sz="0" w:space="0" w:color="auto"/>
        <w:left w:val="none" w:sz="0" w:space="0" w:color="auto"/>
        <w:bottom w:val="none" w:sz="0" w:space="0" w:color="auto"/>
        <w:right w:val="none" w:sz="0" w:space="0" w:color="auto"/>
      </w:divBdr>
    </w:div>
    <w:div w:id="2120681908">
      <w:bodyDiv w:val="1"/>
      <w:marLeft w:val="0"/>
      <w:marRight w:val="0"/>
      <w:marTop w:val="0"/>
      <w:marBottom w:val="0"/>
      <w:divBdr>
        <w:top w:val="none" w:sz="0" w:space="0" w:color="auto"/>
        <w:left w:val="none" w:sz="0" w:space="0" w:color="auto"/>
        <w:bottom w:val="none" w:sz="0" w:space="0" w:color="auto"/>
        <w:right w:val="none" w:sz="0" w:space="0" w:color="auto"/>
      </w:divBdr>
      <w:divsChild>
        <w:div w:id="201523810">
          <w:marLeft w:val="0"/>
          <w:marRight w:val="0"/>
          <w:marTop w:val="0"/>
          <w:marBottom w:val="0"/>
          <w:divBdr>
            <w:top w:val="none" w:sz="0" w:space="0" w:color="auto"/>
            <w:left w:val="none" w:sz="0" w:space="0" w:color="auto"/>
            <w:bottom w:val="none" w:sz="0" w:space="0" w:color="auto"/>
            <w:right w:val="none" w:sz="0" w:space="0" w:color="auto"/>
          </w:divBdr>
          <w:divsChild>
            <w:div w:id="1815634314">
              <w:marLeft w:val="0"/>
              <w:marRight w:val="0"/>
              <w:marTop w:val="0"/>
              <w:marBottom w:val="0"/>
              <w:divBdr>
                <w:top w:val="none" w:sz="0" w:space="0" w:color="auto"/>
                <w:left w:val="none" w:sz="0" w:space="0" w:color="auto"/>
                <w:bottom w:val="none" w:sz="0" w:space="0" w:color="auto"/>
                <w:right w:val="none" w:sz="0" w:space="0" w:color="auto"/>
              </w:divBdr>
              <w:divsChild>
                <w:div w:id="1930500501">
                  <w:marLeft w:val="0"/>
                  <w:marRight w:val="0"/>
                  <w:marTop w:val="0"/>
                  <w:marBottom w:val="0"/>
                  <w:divBdr>
                    <w:top w:val="none" w:sz="0" w:space="0" w:color="auto"/>
                    <w:left w:val="none" w:sz="0" w:space="0" w:color="auto"/>
                    <w:bottom w:val="none" w:sz="0" w:space="0" w:color="auto"/>
                    <w:right w:val="none" w:sz="0" w:space="0" w:color="auto"/>
                  </w:divBdr>
                  <w:divsChild>
                    <w:div w:id="1304893655">
                      <w:marLeft w:val="0"/>
                      <w:marRight w:val="0"/>
                      <w:marTop w:val="0"/>
                      <w:marBottom w:val="0"/>
                      <w:divBdr>
                        <w:top w:val="none" w:sz="0" w:space="0" w:color="auto"/>
                        <w:left w:val="none" w:sz="0" w:space="0" w:color="auto"/>
                        <w:bottom w:val="none" w:sz="0" w:space="0" w:color="auto"/>
                        <w:right w:val="none" w:sz="0" w:space="0" w:color="auto"/>
                      </w:divBdr>
                      <w:divsChild>
                        <w:div w:id="18279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tley@oce.usda.gov" TargetMode="External"/><Relationship Id="rId5" Type="http://schemas.openxmlformats.org/officeDocument/2006/relationships/hyperlink" Target="mailto:Neale.Anne@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Olander, Ph.D.</dc:creator>
  <cp:lastModifiedBy>Zupancic, Kristin E</cp:lastModifiedBy>
  <cp:revision>2</cp:revision>
  <dcterms:created xsi:type="dcterms:W3CDTF">2017-12-06T21:08:00Z</dcterms:created>
  <dcterms:modified xsi:type="dcterms:W3CDTF">2017-12-06T21:08:00Z</dcterms:modified>
</cp:coreProperties>
</file>